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9C685F">
        <w:rPr>
          <w:rFonts w:ascii="Times New Roman" w:eastAsia="Times New Roman" w:hAnsi="Times New Roman" w:cs="Times New Roman"/>
          <w:sz w:val="28"/>
          <w:szCs w:val="20"/>
          <w:lang w:eastAsia="ru-RU"/>
        </w:rPr>
        <w:t>03</w:t>
      </w:r>
      <w:r w:rsidRPr="00743ACD">
        <w:rPr>
          <w:rFonts w:ascii="Times New Roman" w:eastAsia="Times New Roman" w:hAnsi="Times New Roman" w:cs="Times New Roman"/>
          <w:sz w:val="28"/>
          <w:szCs w:val="20"/>
          <w:lang w:eastAsia="ru-RU"/>
        </w:rPr>
        <w:t xml:space="preserve">» </w:t>
      </w:r>
      <w:r w:rsidR="009C685F">
        <w:rPr>
          <w:rFonts w:ascii="Times New Roman" w:eastAsia="Times New Roman" w:hAnsi="Times New Roman" w:cs="Times New Roman"/>
          <w:sz w:val="28"/>
          <w:szCs w:val="20"/>
          <w:lang w:eastAsia="ru-RU"/>
        </w:rPr>
        <w:t>мая</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2024</w:t>
      </w:r>
      <w:r w:rsidR="007468B6">
        <w:rPr>
          <w:rFonts w:ascii="Times New Roman" w:eastAsia="Times New Roman" w:hAnsi="Times New Roman" w:cs="Times New Roman"/>
          <w:sz w:val="28"/>
          <w:szCs w:val="20"/>
          <w:lang w:eastAsia="ru-RU"/>
        </w:rPr>
        <w:t xml:space="preserve"> года   </w:t>
      </w:r>
      <w:r w:rsidR="007468B6" w:rsidRPr="00725FFB">
        <w:rPr>
          <w:rFonts w:ascii="Times New Roman" w:eastAsia="Times New Roman" w:hAnsi="Times New Roman" w:cs="Times New Roman"/>
          <w:sz w:val="28"/>
          <w:szCs w:val="20"/>
          <w:lang w:eastAsia="ru-RU"/>
        </w:rPr>
        <w:t>№</w:t>
      </w:r>
      <w:r w:rsidR="0097095F">
        <w:rPr>
          <w:rFonts w:ascii="Times New Roman" w:eastAsia="Times New Roman" w:hAnsi="Times New Roman" w:cs="Times New Roman"/>
          <w:sz w:val="28"/>
          <w:szCs w:val="20"/>
          <w:lang w:eastAsia="ru-RU"/>
        </w:rPr>
        <w:t xml:space="preserve"> </w:t>
      </w:r>
      <w:r w:rsidR="009C685F">
        <w:rPr>
          <w:rFonts w:ascii="Times New Roman" w:eastAsia="Times New Roman" w:hAnsi="Times New Roman" w:cs="Times New Roman"/>
          <w:sz w:val="28"/>
          <w:szCs w:val="20"/>
          <w:lang w:eastAsia="ru-RU"/>
        </w:rPr>
        <w:t>59</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w:t>
      </w:r>
      <w:r w:rsidRPr="00743ACD">
        <w:rPr>
          <w:rFonts w:ascii="Times New Roman" w:hAnsi="Times New Roman" w:cs="Times New Roman"/>
          <w:sz w:val="28"/>
          <w:szCs w:val="28"/>
        </w:rPr>
        <w:lastRenderedPageBreak/>
        <w:t xml:space="preserve">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E23781" w:rsidP="009C685F">
            <w:pPr>
              <w:pStyle w:val="ConsPlusNormal"/>
              <w:ind w:left="340" w:right="496" w:firstLine="0"/>
              <w:rPr>
                <w:rFonts w:ascii="Times New Roman" w:hAnsi="Times New Roman" w:cs="Times New Roman"/>
                <w:bCs/>
                <w:sz w:val="24"/>
                <w:szCs w:val="24"/>
              </w:rPr>
            </w:pPr>
            <w:r>
              <w:rPr>
                <w:rFonts w:ascii="Times New Roman" w:hAnsi="Times New Roman" w:cs="Times New Roman"/>
                <w:bCs/>
                <w:sz w:val="24"/>
                <w:szCs w:val="24"/>
              </w:rPr>
              <w:t xml:space="preserve">                   </w:t>
            </w:r>
            <w:r w:rsidR="009C685F">
              <w:rPr>
                <w:rFonts w:ascii="Times New Roman" w:hAnsi="Times New Roman" w:cs="Times New Roman"/>
                <w:bCs/>
                <w:sz w:val="24"/>
                <w:szCs w:val="24"/>
              </w:rPr>
              <w:t>от  «03» мая  2024 г  № 59</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725FFB" w:rsidP="00725FF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68AC"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0"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0"/>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52"/>
        <w:gridCol w:w="4427"/>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EF5449" w:rsidRDefault="001267F8" w:rsidP="00EF5449">
            <w:pPr>
              <w:spacing w:after="0" w:line="240" w:lineRule="auto"/>
              <w:rPr>
                <w:rFonts w:ascii="Times New Roman" w:hAnsi="Times New Roman" w:cs="Times New Roman"/>
                <w:sz w:val="24"/>
                <w:szCs w:val="24"/>
              </w:rPr>
            </w:pPr>
            <w:hyperlink r:id="rId9" w:history="1">
              <w:r w:rsidR="00F668AC" w:rsidRPr="00EF5449">
                <w:rPr>
                  <w:rFonts w:ascii="Times New Roman" w:eastAsia="Times New Roman" w:hAnsi="Times New Roman" w:cs="Times New Roman"/>
                  <w:sz w:val="24"/>
                  <w:szCs w:val="24"/>
                  <w:u w:val="single"/>
                  <w:shd w:val="clear" w:color="auto" w:fill="FFFFFF"/>
                  <w:lang w:val="en-US"/>
                </w:rPr>
                <w:t>adm</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krasn</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yar</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yandex</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EF5449" w:rsidRDefault="00F668AC" w:rsidP="00EF5449">
            <w:pPr>
              <w:spacing w:after="0" w:line="240" w:lineRule="auto"/>
              <w:rPr>
                <w:rFonts w:ascii="Times New Roman" w:hAnsi="Times New Roman" w:cs="Times New Roman"/>
                <w:sz w:val="24"/>
                <w:szCs w:val="24"/>
                <w:lang w:val="en-US"/>
              </w:rPr>
            </w:pPr>
            <w:r w:rsidRPr="00EF5449">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w:t>
            </w:r>
            <w:r w:rsidRPr="00743ACD">
              <w:rPr>
                <w:rFonts w:ascii="Times New Roman" w:hAnsi="Times New Roman" w:cs="Times New Roman"/>
                <w:sz w:val="24"/>
                <w:szCs w:val="24"/>
              </w:rPr>
              <w:lastRenderedPageBreak/>
              <w:t>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CF76EF">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9C685F"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06.05</w:t>
            </w:r>
            <w:r w:rsidR="00EF5449">
              <w:rPr>
                <w:rFonts w:ascii="Times New Roman" w:hAnsi="Times New Roman" w:cs="Times New Roman"/>
                <w:sz w:val="24"/>
                <w:szCs w:val="24"/>
              </w:rPr>
              <w:t>.2024</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9C685F"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27</w:t>
            </w:r>
            <w:r w:rsidR="0097095F">
              <w:rPr>
                <w:rFonts w:ascii="Times New Roman" w:hAnsi="Times New Roman" w:cs="Times New Roman"/>
                <w:sz w:val="24"/>
                <w:szCs w:val="24"/>
              </w:rPr>
              <w:t>.05</w:t>
            </w:r>
            <w:r w:rsidR="00E7350E">
              <w:rPr>
                <w:rFonts w:ascii="Times New Roman" w:hAnsi="Times New Roman" w:cs="Times New Roman"/>
                <w:sz w:val="24"/>
                <w:szCs w:val="24"/>
              </w:rPr>
              <w:t>.2024</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9C685F" w:rsidP="00EF54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Начало приема заявок – 06.05</w:t>
            </w:r>
            <w:r w:rsidR="00EF5449">
              <w:rPr>
                <w:rFonts w:ascii="Times New Roman" w:hAnsi="Times New Roman" w:cs="Times New Roman"/>
                <w:sz w:val="24"/>
                <w:szCs w:val="24"/>
              </w:rPr>
              <w:t>.2024</w:t>
            </w:r>
          </w:p>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w:t>
            </w:r>
            <w:r w:rsidR="00EF5449">
              <w:rPr>
                <w:rFonts w:ascii="Times New Roman" w:hAnsi="Times New Roman" w:cs="Times New Roman"/>
                <w:sz w:val="24"/>
                <w:szCs w:val="24"/>
              </w:rPr>
              <w:t>ра открытого конкурса, каб. № 5</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9C685F">
              <w:rPr>
                <w:rFonts w:ascii="Times New Roman" w:hAnsi="Times New Roman" w:cs="Times New Roman"/>
                <w:sz w:val="24"/>
                <w:szCs w:val="24"/>
              </w:rPr>
              <w:t>ема и регистрации заявок – 2</w:t>
            </w:r>
            <w:r w:rsidR="0097095F">
              <w:rPr>
                <w:rFonts w:ascii="Times New Roman" w:hAnsi="Times New Roman" w:cs="Times New Roman"/>
                <w:sz w:val="24"/>
                <w:szCs w:val="24"/>
              </w:rPr>
              <w:t>7.05</w:t>
            </w:r>
            <w:r w:rsidR="00E7350E">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lastRenderedPageBreak/>
              <w:t xml:space="preserve">в 16.00 часов по адресу организатора конкурса, каб. № </w:t>
            </w:r>
            <w:r w:rsidR="00EF5449">
              <w:rPr>
                <w:rFonts w:ascii="Times New Roman" w:hAnsi="Times New Roman" w:cs="Times New Roman"/>
                <w:sz w:val="24"/>
                <w:szCs w:val="24"/>
              </w:rPr>
              <w:t>5</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EF5449" w:rsidRDefault="009C685F"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97095F">
              <w:rPr>
                <w:rFonts w:ascii="Times New Roman" w:hAnsi="Times New Roman" w:cs="Times New Roman"/>
                <w:sz w:val="24"/>
                <w:szCs w:val="24"/>
              </w:rPr>
              <w:t>.05</w:t>
            </w:r>
            <w:r w:rsidR="00E7350E" w:rsidRPr="00EF5449">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9C685F"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97095F">
              <w:rPr>
                <w:rFonts w:ascii="Times New Roman" w:hAnsi="Times New Roman" w:cs="Times New Roman"/>
                <w:sz w:val="24"/>
                <w:szCs w:val="24"/>
              </w:rPr>
              <w:t>.05</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9C685F"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97095F">
              <w:rPr>
                <w:rFonts w:ascii="Times New Roman" w:hAnsi="Times New Roman" w:cs="Times New Roman"/>
                <w:sz w:val="24"/>
                <w:szCs w:val="24"/>
              </w:rPr>
              <w:t>.05</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Pr="00743ACD">
              <w:rPr>
                <w:rFonts w:ascii="Times New Roman" w:hAnsi="Times New Roman" w:cs="Times New Roman"/>
                <w:sz w:val="24"/>
                <w:szCs w:val="24"/>
              </w:rPr>
              <w:lastRenderedPageBreak/>
              <w:t>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9C685F" w:rsidP="009B4466">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30</w:t>
            </w:r>
            <w:r w:rsidR="00666760">
              <w:rPr>
                <w:rFonts w:ascii="Times New Roman" w:hAnsi="Times New Roman" w:cs="Times New Roman"/>
                <w:sz w:val="24"/>
                <w:szCs w:val="24"/>
              </w:rPr>
              <w:t>.05</w:t>
            </w:r>
            <w:r w:rsidR="00023310">
              <w:rPr>
                <w:rFonts w:ascii="Times New Roman" w:hAnsi="Times New Roman" w:cs="Times New Roman"/>
                <w:sz w:val="24"/>
                <w:szCs w:val="24"/>
              </w:rPr>
              <w:t>.2024</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w:t>
      </w:r>
      <w:r w:rsidRPr="00743ACD">
        <w:rPr>
          <w:rFonts w:ascii="Times New Roman" w:hAnsi="Times New Roman" w:cs="Times New Roman"/>
          <w:sz w:val="24"/>
          <w:szCs w:val="24"/>
        </w:rPr>
        <w:lastRenderedPageBreak/>
        <w:t>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8 ч.00 мин. до 16 ч.00 мин., перерыв с      </w:t>
      </w:r>
      <w:r w:rsidR="00023310">
        <w:rPr>
          <w:rFonts w:ascii="Times New Roman" w:hAnsi="Times New Roman" w:cs="Times New Roman"/>
          <w:bCs/>
          <w:sz w:val="24"/>
          <w:szCs w:val="24"/>
        </w:rPr>
        <w:t>12 ч.00 мин. до 13</w:t>
      </w:r>
      <w:r w:rsidRPr="00743ACD">
        <w:rPr>
          <w:rFonts w:ascii="Times New Roman" w:hAnsi="Times New Roman" w:cs="Times New Roman"/>
          <w:bCs/>
          <w:sz w:val="24"/>
          <w:szCs w:val="24"/>
        </w:rPr>
        <w:t xml:space="preserve"> ч.00 мин., по адресу: Самарская область, с. Красный Яр, ул. Комсомол</w:t>
      </w:r>
      <w:r w:rsidR="00C85B0E" w:rsidRPr="00743ACD">
        <w:rPr>
          <w:rFonts w:ascii="Times New Roman" w:hAnsi="Times New Roman" w:cs="Times New Roman"/>
          <w:bCs/>
          <w:sz w:val="24"/>
          <w:szCs w:val="24"/>
        </w:rPr>
        <w:t>ь</w:t>
      </w:r>
      <w:r w:rsidR="00023310">
        <w:rPr>
          <w:rFonts w:ascii="Times New Roman" w:hAnsi="Times New Roman" w:cs="Times New Roman"/>
          <w:bCs/>
          <w:sz w:val="24"/>
          <w:szCs w:val="24"/>
        </w:rPr>
        <w:t>ская, дом 90, 2 этаж, кабинет 5</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 xml:space="preserve">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w:t>
      </w:r>
      <w:r w:rsidRPr="00743ACD">
        <w:rPr>
          <w:rFonts w:ascii="Times New Roman" w:hAnsi="Times New Roman" w:cs="Times New Roman"/>
          <w:color w:val="000000"/>
          <w:sz w:val="24"/>
          <w:szCs w:val="24"/>
        </w:rPr>
        <w:lastRenderedPageBreak/>
        <w:t>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w:t>
      </w:r>
      <w:r w:rsidRPr="00743ACD">
        <w:rPr>
          <w:rFonts w:ascii="Times New Roman" w:hAnsi="Times New Roman" w:cs="Times New Roman"/>
          <w:sz w:val="24"/>
          <w:szCs w:val="24"/>
        </w:rPr>
        <w:lastRenderedPageBreak/>
        <w:t>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first" r:id="rId11"/>
          <w:pgSz w:w="11906" w:h="16838"/>
          <w:pgMar w:top="1134" w:right="566" w:bottom="851" w:left="1701" w:header="709" w:footer="403" w:gutter="0"/>
          <w:pgNumType w:start="2"/>
          <w:cols w:space="708"/>
          <w:docGrid w:linePitch="360"/>
        </w:sectPr>
      </w:pPr>
      <w:bookmarkStart w:id="1" w:name="_Toc442706865"/>
    </w:p>
    <w:p w:rsidR="00F668AC" w:rsidRPr="00743ACD" w:rsidRDefault="00F668AC" w:rsidP="005E073B">
      <w:pPr>
        <w:pStyle w:val="1"/>
        <w:spacing w:before="0" w:after="0"/>
        <w:ind w:left="5103"/>
        <w:rPr>
          <w:b w:val="0"/>
          <w:sz w:val="24"/>
          <w:szCs w:val="24"/>
        </w:rPr>
      </w:pPr>
      <w:r w:rsidRPr="00743ACD">
        <w:rPr>
          <w:b w:val="0"/>
          <w:sz w:val="24"/>
          <w:szCs w:val="24"/>
        </w:rPr>
        <w:lastRenderedPageBreak/>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1"/>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w:t>
      </w:r>
      <w:r w:rsidR="00023310">
        <w:rPr>
          <w:rFonts w:ascii="Times New Roman" w:hAnsi="Times New Roman" w:cs="Times New Roman"/>
          <w:sz w:val="24"/>
          <w:szCs w:val="24"/>
        </w:rPr>
        <w:t>Комсомольская, д. 90, кабинет 5</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2"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w:t>
      </w:r>
      <w:r w:rsidRPr="00743ACD">
        <w:rPr>
          <w:rFonts w:ascii="Times New Roman" w:hAnsi="Times New Roman" w:cs="Times New Roman"/>
          <w:sz w:val="24"/>
          <w:szCs w:val="24"/>
        </w:rPr>
        <w:lastRenderedPageBreak/>
        <w:t xml:space="preserve">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9C685F">
        <w:rPr>
          <w:rFonts w:ascii="Times New Roman" w:hAnsi="Times New Roman" w:cs="Times New Roman"/>
          <w:bCs/>
          <w:sz w:val="24"/>
          <w:szCs w:val="24"/>
        </w:rPr>
        <w:t>06.05</w:t>
      </w:r>
      <w:r w:rsidR="003404A5">
        <w:rPr>
          <w:rFonts w:ascii="Times New Roman" w:hAnsi="Times New Roman" w:cs="Times New Roman"/>
          <w:bCs/>
          <w:sz w:val="24"/>
          <w:szCs w:val="24"/>
        </w:rPr>
        <w:t>.2024</w:t>
      </w:r>
      <w:r w:rsidRPr="00743ACD">
        <w:rPr>
          <w:rFonts w:ascii="Times New Roman" w:hAnsi="Times New Roman" w:cs="Times New Roman"/>
          <w:bCs/>
          <w:sz w:val="24"/>
          <w:szCs w:val="24"/>
        </w:rPr>
        <w:t xml:space="preserve">,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w:t>
      </w:r>
      <w:r w:rsidR="003404A5">
        <w:rPr>
          <w:rFonts w:ascii="Times New Roman" w:hAnsi="Times New Roman" w:cs="Times New Roman"/>
          <w:bCs/>
          <w:sz w:val="24"/>
          <w:szCs w:val="24"/>
        </w:rPr>
        <w:t>л.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w:t>
      </w:r>
      <w:r w:rsidR="009C685F">
        <w:rPr>
          <w:rFonts w:ascii="Times New Roman" w:hAnsi="Times New Roman" w:cs="Times New Roman"/>
          <w:bCs/>
          <w:sz w:val="24"/>
          <w:szCs w:val="24"/>
        </w:rPr>
        <w:t>ации заявок – 27</w:t>
      </w:r>
      <w:r w:rsidR="00D2410A">
        <w:rPr>
          <w:rFonts w:ascii="Times New Roman" w:hAnsi="Times New Roman" w:cs="Times New Roman"/>
          <w:bCs/>
          <w:sz w:val="24"/>
          <w:szCs w:val="24"/>
        </w:rPr>
        <w:t>.05</w:t>
      </w:r>
      <w:r w:rsidR="00023310">
        <w:rPr>
          <w:rFonts w:ascii="Times New Roman" w:hAnsi="Times New Roman" w:cs="Times New Roman"/>
          <w:bCs/>
          <w:sz w:val="24"/>
          <w:szCs w:val="24"/>
        </w:rPr>
        <w:t>.2024</w:t>
      </w:r>
      <w:r w:rsidRPr="00743ACD">
        <w:rPr>
          <w:rFonts w:ascii="Times New Roman" w:hAnsi="Times New Roman" w:cs="Times New Roman"/>
          <w:bCs/>
          <w:sz w:val="24"/>
          <w:szCs w:val="24"/>
        </w:rPr>
        <w:t>, 16 час. 00 мин. по адресу: Самарская область, Красноярский район, с. Красный Яр, ул</w:t>
      </w:r>
      <w:r w:rsidR="00023310">
        <w:rPr>
          <w:rFonts w:ascii="Times New Roman" w:hAnsi="Times New Roman" w:cs="Times New Roman"/>
          <w:bCs/>
          <w:sz w:val="24"/>
          <w:szCs w:val="24"/>
        </w:rPr>
        <w:t>.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9C685F" w:rsidP="005E073B">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28</w:t>
      </w:r>
      <w:r w:rsidR="00D2410A">
        <w:rPr>
          <w:rFonts w:ascii="Times New Roman" w:hAnsi="Times New Roman" w:cs="Times New Roman"/>
          <w:bCs/>
          <w:sz w:val="24"/>
          <w:szCs w:val="24"/>
        </w:rPr>
        <w:t>.05</w:t>
      </w:r>
      <w:r w:rsidR="00023310">
        <w:rPr>
          <w:rFonts w:ascii="Times New Roman" w:hAnsi="Times New Roman" w:cs="Times New Roman"/>
          <w:bCs/>
          <w:sz w:val="24"/>
          <w:szCs w:val="24"/>
        </w:rPr>
        <w:t>.2024</w:t>
      </w:r>
      <w:r w:rsidR="00F668AC" w:rsidRPr="00743ACD">
        <w:rPr>
          <w:rFonts w:ascii="Times New Roman" w:hAnsi="Times New Roman" w:cs="Times New Roman"/>
          <w:bCs/>
          <w:sz w:val="24"/>
          <w:szCs w:val="24"/>
        </w:rPr>
        <w:t>, в 10 час. 00 мин. по адресу: Самарская область, Красноярский район, с. Красный Яр, ул. Комсомольская,</w:t>
      </w:r>
      <w:r w:rsidR="003404A5">
        <w:rPr>
          <w:rFonts w:ascii="Times New Roman" w:hAnsi="Times New Roman" w:cs="Times New Roman"/>
          <w:bCs/>
          <w:sz w:val="24"/>
          <w:szCs w:val="24"/>
        </w:rPr>
        <w:t xml:space="preserve"> д. 90, каб. 2</w:t>
      </w:r>
      <w:r w:rsidR="00F668AC"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3404A5">
        <w:rPr>
          <w:rFonts w:ascii="Times New Roman" w:hAnsi="Times New Roman" w:cs="Times New Roman"/>
          <w:bCs/>
          <w:sz w:val="24"/>
          <w:szCs w:val="24"/>
        </w:rPr>
        <w:t>в открытом конкурсе –</w:t>
      </w:r>
      <w:r w:rsidR="009C685F">
        <w:rPr>
          <w:rFonts w:ascii="Times New Roman" w:hAnsi="Times New Roman" w:cs="Times New Roman"/>
          <w:bCs/>
          <w:sz w:val="24"/>
          <w:szCs w:val="24"/>
        </w:rPr>
        <w:t xml:space="preserve"> 28</w:t>
      </w:r>
      <w:r w:rsidR="00D2410A">
        <w:rPr>
          <w:rFonts w:ascii="Times New Roman" w:hAnsi="Times New Roman" w:cs="Times New Roman"/>
          <w:bCs/>
          <w:sz w:val="24"/>
          <w:szCs w:val="24"/>
        </w:rPr>
        <w:t>.05</w:t>
      </w:r>
      <w:r w:rsidR="00311A21">
        <w:rPr>
          <w:rFonts w:ascii="Times New Roman" w:hAnsi="Times New Roman" w:cs="Times New Roman"/>
          <w:bCs/>
          <w:sz w:val="24"/>
          <w:szCs w:val="24"/>
        </w:rPr>
        <w:t>.2024</w:t>
      </w:r>
      <w:r w:rsidRPr="00743ACD">
        <w:rPr>
          <w:rFonts w:ascii="Times New Roman" w:hAnsi="Times New Roman" w:cs="Times New Roman"/>
          <w:bCs/>
          <w:sz w:val="24"/>
          <w:szCs w:val="24"/>
        </w:rPr>
        <w:t>,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311A21">
        <w:rPr>
          <w:rFonts w:ascii="Times New Roman" w:hAnsi="Times New Roman" w:cs="Times New Roman"/>
          <w:bCs/>
          <w:sz w:val="24"/>
          <w:szCs w:val="24"/>
        </w:rPr>
        <w:t xml:space="preserve"> участие</w:t>
      </w:r>
      <w:r w:rsidR="009C685F">
        <w:rPr>
          <w:rFonts w:ascii="Times New Roman" w:hAnsi="Times New Roman" w:cs="Times New Roman"/>
          <w:bCs/>
          <w:sz w:val="24"/>
          <w:szCs w:val="24"/>
        </w:rPr>
        <w:t xml:space="preserve"> в открытом конкурсе: 28</w:t>
      </w:r>
      <w:bookmarkStart w:id="2" w:name="_GoBack"/>
      <w:bookmarkEnd w:id="2"/>
      <w:r w:rsidR="00D2410A">
        <w:rPr>
          <w:rFonts w:ascii="Times New Roman" w:hAnsi="Times New Roman" w:cs="Times New Roman"/>
          <w:bCs/>
          <w:sz w:val="24"/>
          <w:szCs w:val="24"/>
        </w:rPr>
        <w:t>.05</w:t>
      </w:r>
      <w:r w:rsidR="00311A21">
        <w:rPr>
          <w:rFonts w:ascii="Times New Roman" w:hAnsi="Times New Roman" w:cs="Times New Roman"/>
          <w:bCs/>
          <w:sz w:val="24"/>
          <w:szCs w:val="24"/>
        </w:rPr>
        <w:t>.2024</w:t>
      </w:r>
      <w:r w:rsidRPr="00743ACD">
        <w:rPr>
          <w:rFonts w:ascii="Times New Roman" w:hAnsi="Times New Roman" w:cs="Times New Roman"/>
          <w:bCs/>
          <w:sz w:val="24"/>
          <w:szCs w:val="24"/>
        </w:rPr>
        <w:t xml:space="preserve">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2</w:t>
      </w:r>
    </w:p>
    <w:p w:rsidR="00C35E84"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p>
    <w:p w:rsidR="00F668AC"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муниципального района Красноярский Самарской области</w:t>
      </w:r>
      <w:r w:rsidR="00C35E84">
        <w:rPr>
          <w:rFonts w:ascii="Times New Roman" w:hAnsi="Times New Roman" w:cs="Times New Roman"/>
          <w:sz w:val="24"/>
          <w:szCs w:val="24"/>
        </w:rPr>
        <w:t xml:space="preserve"> </w:t>
      </w:r>
    </w:p>
    <w:p w:rsidR="00C35E84" w:rsidRDefault="00C35E84" w:rsidP="005E073B">
      <w:pPr>
        <w:spacing w:after="0" w:line="240" w:lineRule="auto"/>
        <w:ind w:left="7797"/>
        <w:jc w:val="center"/>
        <w:rPr>
          <w:rFonts w:ascii="Times New Roman" w:hAnsi="Times New Roman" w:cs="Times New Roman"/>
          <w:sz w:val="24"/>
          <w:szCs w:val="24"/>
        </w:rPr>
      </w:pPr>
    </w:p>
    <w:p w:rsidR="00C35E84" w:rsidRDefault="00C35E84" w:rsidP="005E073B">
      <w:pPr>
        <w:spacing w:after="0" w:line="240" w:lineRule="auto"/>
        <w:ind w:left="7797"/>
        <w:jc w:val="center"/>
        <w:rPr>
          <w:rFonts w:ascii="Times New Roman" w:hAnsi="Times New Roman" w:cs="Times New Roman"/>
          <w:sz w:val="24"/>
          <w:szCs w:val="24"/>
        </w:rPr>
      </w:pPr>
    </w:p>
    <w:p w:rsidR="00C35E84" w:rsidRPr="00743ACD" w:rsidRDefault="00C35E84" w:rsidP="005E073B">
      <w:pPr>
        <w:spacing w:after="0" w:line="240" w:lineRule="auto"/>
        <w:ind w:left="7797"/>
        <w:jc w:val="center"/>
        <w:rPr>
          <w:rFonts w:ascii="Times New Roman" w:hAnsi="Times New Roman" w:cs="Times New Roman"/>
          <w:sz w:val="24"/>
          <w:szCs w:val="24"/>
        </w:rPr>
      </w:pP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A0209A">
        <w:trPr>
          <w:trHeight w:val="2895"/>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r w:rsidR="00165067" w:rsidRPr="00743ACD" w:rsidTr="00F668AC">
        <w:trPr>
          <w:jc w:val="center"/>
        </w:trPr>
        <w:tc>
          <w:tcPr>
            <w:tcW w:w="675"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lastRenderedPageBreak/>
              <w:t>2</w:t>
            </w:r>
          </w:p>
        </w:tc>
        <w:tc>
          <w:tcPr>
            <w:tcW w:w="709"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1592" w:type="dxa"/>
            <w:vAlign w:val="center"/>
          </w:tcPr>
          <w:p w:rsidR="00165067" w:rsidRPr="00133318" w:rsidRDefault="00133318" w:rsidP="003E6D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п.Восточный-автовокзал</w:t>
            </w:r>
            <w:r w:rsidR="003E6DE6">
              <w:rPr>
                <w:rFonts w:ascii="Times New Roman" w:hAnsi="Times New Roman" w:cs="Times New Roman"/>
                <w:bCs/>
                <w:sz w:val="24"/>
                <w:szCs w:val="24"/>
              </w:rPr>
              <w:t xml:space="preserve"> </w:t>
            </w:r>
            <w:r w:rsidR="00165067" w:rsidRPr="00133318">
              <w:rPr>
                <w:rFonts w:ascii="Times New Roman" w:hAnsi="Times New Roman" w:cs="Times New Roman"/>
                <w:bCs/>
                <w:sz w:val="24"/>
                <w:szCs w:val="24"/>
              </w:rPr>
              <w:t xml:space="preserve"> с.Красный Яр</w:t>
            </w:r>
          </w:p>
        </w:tc>
        <w:tc>
          <w:tcPr>
            <w:tcW w:w="1810" w:type="dxa"/>
            <w:vAlign w:val="center"/>
          </w:tcPr>
          <w:p w:rsidR="00165067" w:rsidRPr="00165067" w:rsidRDefault="00165067" w:rsidP="005E073B">
            <w:pPr>
              <w:spacing w:after="0" w:line="240" w:lineRule="auto"/>
              <w:jc w:val="center"/>
              <w:rPr>
                <w:rFonts w:ascii="Times New Roman" w:hAnsi="Times New Roman" w:cs="Times New Roman"/>
                <w:bCs/>
                <w:sz w:val="24"/>
                <w:szCs w:val="24"/>
                <w:highlight w:val="yellow"/>
              </w:rPr>
            </w:pPr>
          </w:p>
        </w:tc>
        <w:tc>
          <w:tcPr>
            <w:tcW w:w="2552" w:type="dxa"/>
            <w:vAlign w:val="center"/>
          </w:tcPr>
          <w:p w:rsidR="00165067" w:rsidRPr="00165067" w:rsidRDefault="00133318" w:rsidP="005E073B">
            <w:pPr>
              <w:spacing w:after="0" w:line="240" w:lineRule="auto"/>
              <w:jc w:val="center"/>
              <w:rPr>
                <w:rFonts w:ascii="Times New Roman" w:hAnsi="Times New Roman" w:cs="Times New Roman"/>
                <w:bCs/>
                <w:sz w:val="24"/>
                <w:szCs w:val="24"/>
                <w:highlight w:val="yellow"/>
              </w:rPr>
            </w:pPr>
            <w:r w:rsidRPr="00133318">
              <w:rPr>
                <w:rFonts w:ascii="Times New Roman" w:hAnsi="Times New Roman" w:cs="Times New Roman"/>
                <w:bCs/>
                <w:sz w:val="24"/>
                <w:szCs w:val="24"/>
              </w:rPr>
              <w:t>ул.</w:t>
            </w:r>
            <w:r>
              <w:rPr>
                <w:rFonts w:ascii="Times New Roman" w:hAnsi="Times New Roman" w:cs="Times New Roman"/>
                <w:bCs/>
                <w:sz w:val="24"/>
                <w:szCs w:val="24"/>
              </w:rPr>
              <w:t xml:space="preserve"> Промысловая,ул.Оренбургская,</w:t>
            </w:r>
            <w:r w:rsidR="00A0209A">
              <w:rPr>
                <w:rFonts w:ascii="Times New Roman" w:hAnsi="Times New Roman" w:cs="Times New Roman"/>
                <w:bCs/>
                <w:sz w:val="24"/>
                <w:szCs w:val="24"/>
              </w:rPr>
              <w:t>ул.Дорожная,трасса М-5 Урал, п.Восточный</w:t>
            </w:r>
          </w:p>
        </w:tc>
        <w:tc>
          <w:tcPr>
            <w:tcW w:w="850"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4,05</w:t>
            </w:r>
          </w:p>
        </w:tc>
        <w:tc>
          <w:tcPr>
            <w:tcW w:w="1559"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в любом не запрещенном ПДД месте</w:t>
            </w:r>
          </w:p>
        </w:tc>
        <w:tc>
          <w:tcPr>
            <w:tcW w:w="1418"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Автобус, малый класс</w:t>
            </w:r>
          </w:p>
        </w:tc>
        <w:tc>
          <w:tcPr>
            <w:tcW w:w="1024"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Евро-3,Евро-4</w:t>
            </w:r>
          </w:p>
        </w:tc>
        <w:tc>
          <w:tcPr>
            <w:tcW w:w="138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будни, воскресенье</w:t>
            </w:r>
          </w:p>
        </w:tc>
        <w:tc>
          <w:tcPr>
            <w:tcW w:w="146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165067" w:rsidRDefault="00F668AC" w:rsidP="005E073B">
      <w:pPr>
        <w:spacing w:after="0" w:line="240" w:lineRule="auto"/>
        <w:ind w:firstLine="567"/>
        <w:jc w:val="both"/>
        <w:rPr>
          <w:rFonts w:ascii="Times New Roman" w:hAnsi="Times New Roman" w:cs="Times New Roman"/>
          <w:sz w:val="16"/>
          <w:szCs w:val="16"/>
        </w:rPr>
        <w:sectPr w:rsidR="00F668AC" w:rsidRPr="00165067" w:rsidSect="00F668AC">
          <w:headerReference w:type="default" r:id="rId13"/>
          <w:headerReference w:type="first" r:id="rId14"/>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 xml:space="preserve">Допускается использование автобуса большего класса и высшего экологического класса, чем предусмотрено условиями </w:t>
      </w:r>
      <w:r w:rsidRPr="00165067">
        <w:rPr>
          <w:rFonts w:ascii="Times New Roman" w:hAnsi="Times New Roman" w:cs="Times New Roman"/>
          <w:sz w:val="16"/>
          <w:szCs w:val="16"/>
        </w:rPr>
        <w:t>конкурсной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0D08E3" w:rsidRPr="00743ACD" w:rsidTr="00A01AF2">
        <w:trPr>
          <w:trHeight w:val="623"/>
          <w:jc w:val="center"/>
        </w:trPr>
        <w:tc>
          <w:tcPr>
            <w:tcW w:w="1242" w:type="dxa"/>
            <w:vAlign w:val="center"/>
          </w:tcPr>
          <w:p w:rsidR="000D08E3" w:rsidRPr="00743ACD" w:rsidRDefault="000D08E3" w:rsidP="005E0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2</w:t>
            </w:r>
          </w:p>
        </w:tc>
        <w:tc>
          <w:tcPr>
            <w:tcW w:w="2693"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п.Восточный-автовокзал с.Красный Яр</w:t>
            </w:r>
          </w:p>
        </w:tc>
        <w:tc>
          <w:tcPr>
            <w:tcW w:w="2127" w:type="dxa"/>
            <w:vAlign w:val="center"/>
          </w:tcPr>
          <w:p w:rsidR="00A01AF2"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A01AF2" w:rsidRDefault="002A58FA" w:rsidP="002A58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13-20 </w:t>
            </w:r>
          </w:p>
          <w:p w:rsidR="00A01AF2" w:rsidRPr="00743ACD"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268" w:type="dxa"/>
            <w:vAlign w:val="center"/>
          </w:tcPr>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Суббота,</w:t>
            </w:r>
          </w:p>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воскресенье</w:t>
            </w:r>
          </w:p>
          <w:p w:rsidR="000D08E3"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8041ED" w:rsidRPr="00743ACD"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409" w:type="dxa"/>
            <w:vAlign w:val="center"/>
          </w:tcPr>
          <w:p w:rsidR="000D08E3" w:rsidRDefault="00A01AF2" w:rsidP="00A01A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07-10     </w:t>
            </w:r>
          </w:p>
          <w:p w:rsidR="00A01AF2"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13-00 </w:t>
            </w:r>
          </w:p>
          <w:p w:rsidR="00A01AF2" w:rsidRPr="00743ACD"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c>
          <w:tcPr>
            <w:tcW w:w="2552" w:type="dxa"/>
            <w:vAlign w:val="center"/>
          </w:tcPr>
          <w:p w:rsidR="008041ED" w:rsidRPr="008041ED" w:rsidRDefault="008041ED" w:rsidP="008041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41ED">
              <w:rPr>
                <w:rFonts w:ascii="Times New Roman" w:eastAsia="Calibri" w:hAnsi="Times New Roman" w:cs="Times New Roman"/>
                <w:sz w:val="24"/>
                <w:szCs w:val="24"/>
              </w:rPr>
              <w:t>Суббота,</w:t>
            </w:r>
          </w:p>
          <w:p w:rsidR="000D08E3" w:rsidRDefault="008041ED" w:rsidP="008041ED">
            <w:pPr>
              <w:spacing w:after="0" w:line="240" w:lineRule="auto"/>
              <w:jc w:val="center"/>
              <w:rPr>
                <w:rFonts w:ascii="Times New Roman" w:eastAsia="Calibri" w:hAnsi="Times New Roman" w:cs="Times New Roman"/>
                <w:sz w:val="24"/>
                <w:szCs w:val="24"/>
              </w:rPr>
            </w:pPr>
            <w:r w:rsidRPr="008041ED">
              <w:rPr>
                <w:rFonts w:ascii="Times New Roman" w:eastAsia="Calibri" w:hAnsi="Times New Roman" w:cs="Times New Roman"/>
                <w:sz w:val="24"/>
                <w:szCs w:val="24"/>
              </w:rPr>
              <w:t>Воскресенье</w:t>
            </w:r>
            <w:r>
              <w:rPr>
                <w:rFonts w:ascii="Times New Roman" w:eastAsia="Calibri" w:hAnsi="Times New Roman" w:cs="Times New Roman"/>
                <w:sz w:val="24"/>
                <w:szCs w:val="24"/>
              </w:rPr>
              <w:t xml:space="preserve"> </w:t>
            </w:r>
          </w:p>
          <w:p w:rsidR="008041E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07-10 </w:t>
            </w:r>
          </w:p>
          <w:p w:rsidR="008041ED" w:rsidRPr="00743AC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r>
    </w:tbl>
    <w:p w:rsidR="000D08E3" w:rsidRDefault="000D08E3" w:rsidP="005E073B">
      <w:pPr>
        <w:spacing w:after="0" w:line="240" w:lineRule="auto"/>
        <w:jc w:val="both"/>
        <w:rPr>
          <w:rFonts w:ascii="Times New Roman" w:hAnsi="Times New Roman" w:cs="Times New Roman"/>
          <w:sz w:val="24"/>
          <w:szCs w:val="24"/>
        </w:rPr>
      </w:pPr>
    </w:p>
    <w:p w:rsidR="000D08E3" w:rsidRDefault="000D08E3" w:rsidP="000D08E3">
      <w:pPr>
        <w:tabs>
          <w:tab w:val="left" w:pos="6400"/>
        </w:tabs>
        <w:rPr>
          <w:rFonts w:ascii="Times New Roman" w:hAnsi="Times New Roman" w:cs="Times New Roman"/>
          <w:sz w:val="24"/>
          <w:szCs w:val="24"/>
        </w:rPr>
      </w:pPr>
      <w:r>
        <w:rPr>
          <w:rFonts w:ascii="Times New Roman" w:hAnsi="Times New Roman" w:cs="Times New Roman"/>
          <w:sz w:val="24"/>
          <w:szCs w:val="24"/>
        </w:rPr>
        <w:tab/>
      </w:r>
    </w:p>
    <w:p w:rsidR="00F668AC" w:rsidRPr="000D08E3" w:rsidRDefault="000D08E3" w:rsidP="000D08E3">
      <w:pPr>
        <w:tabs>
          <w:tab w:val="left" w:pos="6400"/>
        </w:tabs>
        <w:rPr>
          <w:rFonts w:ascii="Times New Roman" w:hAnsi="Times New Roman" w:cs="Times New Roman"/>
          <w:sz w:val="24"/>
          <w:szCs w:val="24"/>
        </w:rPr>
        <w:sectPr w:rsidR="00F668AC" w:rsidRPr="000D08E3" w:rsidSect="00F668AC">
          <w:pgSz w:w="16838" w:h="11906" w:orient="landscape"/>
          <w:pgMar w:top="1134" w:right="1134" w:bottom="1134" w:left="1418" w:header="709" w:footer="403" w:gutter="0"/>
          <w:pgNumType w:start="1"/>
          <w:cols w:space="708"/>
          <w:titlePg/>
          <w:docGrid w:linePitch="360"/>
        </w:sectPr>
      </w:pPr>
      <w:r>
        <w:rPr>
          <w:rFonts w:ascii="Times New Roman" w:hAnsi="Times New Roman" w:cs="Times New Roman"/>
          <w:sz w:val="24"/>
          <w:szCs w:val="24"/>
        </w:rPr>
        <w:tab/>
      </w: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3" w:name="_Toc442706881"/>
      <w:r w:rsidRPr="00743ACD">
        <w:rPr>
          <w:rFonts w:ascii="Times New Roman" w:hAnsi="Times New Roman" w:cs="Times New Roman"/>
          <w:b w:val="0"/>
          <w:color w:val="auto"/>
          <w:sz w:val="24"/>
          <w:szCs w:val="24"/>
        </w:rPr>
        <w:lastRenderedPageBreak/>
        <w:t xml:space="preserve">Приложение </w:t>
      </w:r>
      <w:bookmarkEnd w:id="3"/>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4" w:name="_Toc442632506"/>
      <w:bookmarkStart w:id="5" w:name="_Toc442706647"/>
      <w:bookmarkStart w:id="6" w:name="_Toc442706883"/>
      <w:r w:rsidRPr="00743ACD">
        <w:rPr>
          <w:rFonts w:ascii="Times New Roman" w:hAnsi="Times New Roman" w:cs="Times New Roman"/>
          <w:color w:val="auto"/>
          <w:sz w:val="24"/>
          <w:szCs w:val="24"/>
        </w:rPr>
        <w:t>ЗАЯВКА</w:t>
      </w:r>
    </w:p>
    <w:bookmarkEnd w:id="4"/>
    <w:bookmarkEnd w:id="5"/>
    <w:bookmarkEnd w:id="6"/>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r>
      <w:r w:rsidRPr="00743ACD">
        <w:rPr>
          <w:rStyle w:val="ac"/>
          <w:rFonts w:ascii="Times New Roman" w:eastAsia="Courier New" w:hAnsi="Times New Roman" w:cs="Times New Roman"/>
          <w:bCs/>
          <w:sz w:val="24"/>
          <w:szCs w:val="24"/>
        </w:rPr>
        <w:lastRenderedPageBreak/>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5"/>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lastRenderedPageBreak/>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6"/>
          <w:headerReference w:type="first" r:id="rId17"/>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
        <w:gridCol w:w="1700"/>
        <w:gridCol w:w="681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679"/>
        <w:gridCol w:w="6686"/>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sidRPr="00743ACD">
              <w:rPr>
                <w:rFonts w:ascii="Times New Roman" w:hAnsi="Times New Roman" w:cs="Times New Roman"/>
                <w:sz w:val="24"/>
                <w:szCs w:val="24"/>
              </w:rPr>
              <w:lastRenderedPageBreak/>
              <w:t>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lastRenderedPageBreak/>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наличие видеорегистраторов и видеокамер в салоне </w:t>
            </w:r>
            <w:r w:rsidRPr="00743ACD">
              <w:rPr>
                <w:rFonts w:ascii="Times New Roman" w:hAnsi="Times New Roman" w:cs="Times New Roman"/>
                <w:sz w:val="24"/>
                <w:szCs w:val="24"/>
              </w:rPr>
              <w:lastRenderedPageBreak/>
              <w:t>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lastRenderedPageBreak/>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w:t>
      </w:r>
      <w:r w:rsidR="003404A5">
        <w:rPr>
          <w:rFonts w:ascii="Times New Roman" w:hAnsi="Times New Roman" w:cs="Times New Roman"/>
          <w:sz w:val="24"/>
          <w:szCs w:val="24"/>
        </w:rPr>
        <w:t>«____»_______2024</w:t>
      </w:r>
      <w:r w:rsidRPr="00743ACD">
        <w:rPr>
          <w:rFonts w:ascii="Times New Roman" w:hAnsi="Times New Roman" w:cs="Times New Roman"/>
          <w:sz w:val="24"/>
          <w:szCs w:val="24"/>
        </w:rPr>
        <w:t xml:space="preserve">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lastRenderedPageBreak/>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w:t>
      </w:r>
      <w:r w:rsidRPr="00743ACD">
        <w:rPr>
          <w:rFonts w:ascii="Times New Roman" w:hAnsi="Times New Roman" w:cs="Times New Roman"/>
          <w:spacing w:val="-1"/>
          <w:sz w:val="24"/>
          <w:szCs w:val="24"/>
        </w:rPr>
        <w:lastRenderedPageBreak/>
        <w:t xml:space="preserve">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1B61B5" w:rsidP="001B61B5">
      <w:pPr>
        <w:shd w:val="clear" w:color="auto" w:fill="FFFFFF"/>
        <w:spacing w:after="0" w:line="240" w:lineRule="auto"/>
        <w:jc w:val="both"/>
        <w:rPr>
          <w:rFonts w:ascii="Times New Roman" w:hAnsi="Times New Roman" w:cs="Times New Roman"/>
          <w:b/>
          <w:spacing w:val="5"/>
          <w:sz w:val="24"/>
          <w:szCs w:val="24"/>
        </w:rPr>
      </w:pPr>
      <w:r>
        <w:rPr>
          <w:rFonts w:ascii="Times New Roman" w:hAnsi="Times New Roman" w:cs="Times New Roman"/>
          <w:b/>
          <w:spacing w:val="9"/>
          <w:sz w:val="24"/>
          <w:szCs w:val="24"/>
        </w:rPr>
        <w:t xml:space="preserve">    </w:t>
      </w:r>
      <w:r w:rsidR="00F668AC" w:rsidRPr="00743ACD">
        <w:rPr>
          <w:rFonts w:ascii="Times New Roman" w:hAnsi="Times New Roman" w:cs="Times New Roman"/>
          <w:b/>
          <w:spacing w:val="9"/>
          <w:sz w:val="24"/>
          <w:szCs w:val="24"/>
        </w:rPr>
        <w:t>Администрация:</w:t>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w:t>
      </w:r>
      <w:r w:rsidR="003404A5">
        <w:rPr>
          <w:rFonts w:ascii="Times New Roman" w:hAnsi="Times New Roman" w:cs="Times New Roman"/>
          <w:sz w:val="24"/>
          <w:szCs w:val="24"/>
        </w:rPr>
        <w:t>____2024</w:t>
      </w:r>
      <w:r w:rsidRPr="00743ACD">
        <w:rPr>
          <w:rFonts w:ascii="Times New Roman" w:hAnsi="Times New Roman" w:cs="Times New Roman"/>
          <w:sz w:val="24"/>
          <w:szCs w:val="24"/>
        </w:rPr>
        <w:t>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F8" w:rsidRDefault="001267F8" w:rsidP="005E073B">
      <w:pPr>
        <w:spacing w:after="0" w:line="240" w:lineRule="auto"/>
      </w:pPr>
      <w:r>
        <w:separator/>
      </w:r>
    </w:p>
  </w:endnote>
  <w:endnote w:type="continuationSeparator" w:id="0">
    <w:p w:rsidR="001267F8" w:rsidRDefault="001267F8"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F8" w:rsidRDefault="001267F8" w:rsidP="005E073B">
      <w:pPr>
        <w:spacing w:after="0" w:line="240" w:lineRule="auto"/>
      </w:pPr>
      <w:r>
        <w:separator/>
      </w:r>
    </w:p>
  </w:footnote>
  <w:footnote w:type="continuationSeparator" w:id="0">
    <w:p w:rsidR="001267F8" w:rsidRDefault="001267F8"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133318" w:rsidRDefault="00133318">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9C685F">
          <w:rPr>
            <w:rFonts w:ascii="Times New Roman" w:hAnsi="Times New Roman" w:cs="Times New Roman"/>
            <w:noProof/>
          </w:rPr>
          <w:t>2</w:t>
        </w:r>
        <w:r w:rsidRPr="00280924">
          <w:rPr>
            <w:rFonts w:ascii="Times New Roman" w:hAnsi="Times New Roman" w:cs="Times New Roman"/>
          </w:rPr>
          <w:fldChar w:fldCharType="end"/>
        </w:r>
      </w:p>
    </w:sdtContent>
  </w:sdt>
  <w:p w:rsidR="00133318" w:rsidRDefault="00133318" w:rsidP="00F668AC">
    <w:pPr>
      <w:pStyle w:val="a6"/>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Default="0013331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Pr="000C6986" w:rsidRDefault="00133318">
    <w:pPr>
      <w:pStyle w:val="a6"/>
      <w:jc w:val="center"/>
      <w:rPr>
        <w:rFonts w:ascii="Times New Roman" w:hAnsi="Times New Roman" w:cs="Times New Roman"/>
      </w:rPr>
    </w:pPr>
    <w:r w:rsidRPr="000C6986">
      <w:rPr>
        <w:rFonts w:ascii="Times New Roman" w:hAnsi="Times New Roman" w:cs="Times New Roman"/>
      </w:rPr>
      <w:t>2</w:t>
    </w:r>
  </w:p>
  <w:p w:rsidR="00133318" w:rsidRDefault="0013331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Pr="00E23BE4" w:rsidRDefault="00133318"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8"/>
    <w:rsid w:val="00023310"/>
    <w:rsid w:val="00026994"/>
    <w:rsid w:val="00091525"/>
    <w:rsid w:val="000D08E3"/>
    <w:rsid w:val="001267F8"/>
    <w:rsid w:val="00131DFE"/>
    <w:rsid w:val="00133318"/>
    <w:rsid w:val="00165067"/>
    <w:rsid w:val="00173CA5"/>
    <w:rsid w:val="001B61B5"/>
    <w:rsid w:val="001C29AC"/>
    <w:rsid w:val="0026535F"/>
    <w:rsid w:val="00271789"/>
    <w:rsid w:val="00273CA1"/>
    <w:rsid w:val="002A58FA"/>
    <w:rsid w:val="002B5CDA"/>
    <w:rsid w:val="00311A21"/>
    <w:rsid w:val="003236EF"/>
    <w:rsid w:val="003404A5"/>
    <w:rsid w:val="003D5E7C"/>
    <w:rsid w:val="003E6AE1"/>
    <w:rsid w:val="003E6DE6"/>
    <w:rsid w:val="00447D03"/>
    <w:rsid w:val="00491FCC"/>
    <w:rsid w:val="004C2CD7"/>
    <w:rsid w:val="00554F77"/>
    <w:rsid w:val="005E073B"/>
    <w:rsid w:val="00665AAC"/>
    <w:rsid w:val="00666760"/>
    <w:rsid w:val="006E1DDC"/>
    <w:rsid w:val="006E79B6"/>
    <w:rsid w:val="00725FFB"/>
    <w:rsid w:val="00743ACD"/>
    <w:rsid w:val="007468B6"/>
    <w:rsid w:val="008041ED"/>
    <w:rsid w:val="00834830"/>
    <w:rsid w:val="00891DA6"/>
    <w:rsid w:val="0097095F"/>
    <w:rsid w:val="00973D14"/>
    <w:rsid w:val="00994E95"/>
    <w:rsid w:val="009B4466"/>
    <w:rsid w:val="009C685F"/>
    <w:rsid w:val="009C6DB0"/>
    <w:rsid w:val="009E5719"/>
    <w:rsid w:val="00A01AF2"/>
    <w:rsid w:val="00A0209A"/>
    <w:rsid w:val="00A65660"/>
    <w:rsid w:val="00A70869"/>
    <w:rsid w:val="00A8456F"/>
    <w:rsid w:val="00AA4098"/>
    <w:rsid w:val="00AF076E"/>
    <w:rsid w:val="00B46A3E"/>
    <w:rsid w:val="00C35E84"/>
    <w:rsid w:val="00C65685"/>
    <w:rsid w:val="00C71458"/>
    <w:rsid w:val="00C824D2"/>
    <w:rsid w:val="00C85B0E"/>
    <w:rsid w:val="00CB0365"/>
    <w:rsid w:val="00CD1C1B"/>
    <w:rsid w:val="00CD547D"/>
    <w:rsid w:val="00CD7C39"/>
    <w:rsid w:val="00CF76EF"/>
    <w:rsid w:val="00D2410A"/>
    <w:rsid w:val="00D728B0"/>
    <w:rsid w:val="00DD1386"/>
    <w:rsid w:val="00DE7915"/>
    <w:rsid w:val="00E23781"/>
    <w:rsid w:val="00E24158"/>
    <w:rsid w:val="00E7350E"/>
    <w:rsid w:val="00EC7C63"/>
    <w:rsid w:val="00EF5449"/>
    <w:rsid w:val="00F668AC"/>
    <w:rsid w:val="00FD0450"/>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C052-908B-4354-B4A6-D945E96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krasn-yar@yandex.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krasn-yar@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8</cp:revision>
  <cp:lastPrinted>2023-11-27T09:46:00Z</cp:lastPrinted>
  <dcterms:created xsi:type="dcterms:W3CDTF">2024-04-24T05:22:00Z</dcterms:created>
  <dcterms:modified xsi:type="dcterms:W3CDTF">2024-05-03T04:18:00Z</dcterms:modified>
</cp:coreProperties>
</file>